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18</w:t>
      </w:r>
      <w:bookmarkStart w:id="0" w:name="_GoBack"/>
      <w:bookmarkEnd w:id="0"/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 xml:space="preserve">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女性生殖系统——赵敏老师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子宫 </w:t>
      </w:r>
    </w:p>
    <w:p>
      <w:pPr>
        <w:numPr>
          <w:ilvl w:val="0"/>
          <w:numId w:val="1"/>
        </w:numPr>
        <w:ind w:left="480" w:hanging="480" w:hanging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子宫：形状像个倒置的梨形，上部较宽为宫体，顶部为宫底， 宫底两边为子宫角，下部为宫颈。 宫体：与宫颈之间形成最狭窄的部分称子宫峡部，它连接宫体与宫颈，它既不 属于宫体也不属于宫颈，非孕时长约 1cm,妊娠末期长约 7.10cm。 子宫峡部有上下两个口，上口窄，为解剖学内口:下口宽，为组织学内口(子宫 内膜与宫颈黏膜的交界处)。 宫体与宫颈的比例:女童为 1: 2，成年妇女为 2: 1,老年妇女为 1: 1。 </w:t>
      </w:r>
    </w:p>
    <w:p>
      <w:pPr>
        <w:numPr>
          <w:ilvl w:val="0"/>
          <w:numId w:val="0"/>
        </w:numPr>
        <w:ind w:leftChars="-100"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 xml:space="preserve">组织结构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子宫内膜属于柱状上皮分为致密层、海绵层和基底层，前两者统称功能层。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 xml:space="preserve">子宫体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(1) 2/3 为功能层，每月定期脱落，形成月经 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(2) 1/3 为基底层，不受卵巢性激素影响，不发生周期变化。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2.子宫韧带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(1)圆韧带:起源于两侧子宫角，往前下终止于大阴唇前端，它维持子宫前倾位.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(2)阔韧带:里面有丰富的血管、神经、淋巴管，为疏松组织，终止于两侧的骨 盆壁，左右固定位置。它底部有子宫动静脉和输尿管，所以子宫手术切开阔韧 带时，要防止误伤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(3)主韧带:横行于宫颈两侧和骨盆侧壁之间，（固定子宫位置、防止脱垂)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(4) 宫低韧带:向后向上牵引宫颈，也是维持子宫前倾位.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子宫韧带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圆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韧带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前倾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阔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韧带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正中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主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韧带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固定宫颈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子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宫骶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骨韧带（宫骶韧带）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间接前倾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333750" cy="2857500"/>
            <wp:effectExtent l="0" t="0" r="381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tabs>
          <w:tab w:val="clear" w:pos="312"/>
        </w:tabs>
        <w:ind w:leftChars="-1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输卵管 长 8～14cm 间质部(1cm 最峡窄）、</w:t>
      </w:r>
      <w:r>
        <w:rPr>
          <w:rFonts w:ascii="宋体" w:hAnsi="宋体" w:eastAsia="宋体" w:cs="宋体"/>
          <w:color w:val="FF0000"/>
          <w:sz w:val="24"/>
          <w:szCs w:val="24"/>
        </w:rPr>
        <w:t>峡部(2-3cm、 结扎）</w:t>
      </w:r>
      <w:r>
        <w:rPr>
          <w:rFonts w:ascii="宋体" w:hAnsi="宋体" w:eastAsia="宋体" w:cs="宋体"/>
          <w:sz w:val="24"/>
          <w:szCs w:val="24"/>
        </w:rPr>
        <w:t xml:space="preserve">、 </w:t>
      </w:r>
      <w:r>
        <w:rPr>
          <w:rFonts w:ascii="宋体" w:hAnsi="宋体" w:eastAsia="宋体" w:cs="宋体"/>
          <w:color w:val="FF0000"/>
          <w:sz w:val="24"/>
          <w:szCs w:val="24"/>
        </w:rPr>
        <w:t>壶腹部（5-6cm、受精、异位妊娠）</w:t>
      </w:r>
      <w:r>
        <w:rPr>
          <w:rFonts w:ascii="宋体" w:hAnsi="宋体" w:eastAsia="宋体" w:cs="宋体"/>
          <w:sz w:val="24"/>
          <w:szCs w:val="24"/>
        </w:rPr>
        <w:t xml:space="preserve"> 、伞部（1-1.5cm 、拾卵） 输卵管肌肉的收缩和黏膜上皮细胞的形态、分泌及纤毛摆动——</w:t>
      </w:r>
      <w:r>
        <w:rPr>
          <w:rFonts w:ascii="宋体" w:hAnsi="宋体" w:eastAsia="宋体" w:cs="宋体"/>
          <w:color w:val="FF0000"/>
          <w:sz w:val="24"/>
          <w:szCs w:val="24"/>
        </w:rPr>
        <w:t>周期变化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4.卵巢：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大小：4×3×1cm^3 ，5~6g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表面：无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腹膜，生发上皮，白膜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皮质（最重要）：卵泡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黄体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髓质：血管，神经，淋巴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内生殖总结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阴道：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黏膜：无腺体，复层鳞状上皮，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周期变化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子宫：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大小：长7~8cm，宽4~5cm，厚2~3cm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宫体与宫颈之比：成年2：1</w:t>
      </w:r>
    </w:p>
    <w:p>
      <w:pPr>
        <w:numPr>
          <w:ilvl w:val="0"/>
          <w:numId w:val="0"/>
        </w:numPr>
        <w:ind w:left="1680" w:hanging="1680" w:hangingChars="7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峡部：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非孕：1cm；孕晚期：7~10cm（子宫下段）；上端-解剖学内口，下端-解刨学外口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内膜：功能层（2/3）周期变化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子宫颈：宫颈外口鳞、柱上皮交接处易发生宫颈癌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输卵管：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间质部（最狭窄）、峡部（结扎）、壶腹部（受精）、伞部（拾卵）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卵巢：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表面无腹膜（生发上皮）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皮质：卵泡及黄体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髓质：血管、神经、淋巴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血管：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盆腔动脉：卵巢动脉：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腹主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动脉（左侧：左肾动脉）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子宫动脉：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髂内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动脉-前支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→宫体支→宫底支→输卵管支→卵巢支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          →宫颈、阴道支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阴道动脉：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髂内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动脉-中支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阴部内动脉：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髂内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动脉-终支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→痔下动脉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                          →会阴动脉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                          →阴唇动脉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                          →阴蒂动脉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盆腔静脉：右卵巢V：汇入下腔V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左卵巢V：汇入左肾V，左侧盆腔静脉曲张多见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※记忆总结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动脉：除卵巢动脉外均来源于髂内动脉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阔韧带基底部、子宫颈旁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2cm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：子宫动脉与输尿管交叉（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桥下流水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骨盆：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骨骼：骶骨、尾骨左右两块髋骨（耻骨、髂骨、坐骨）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坐骨棘间隙-判断胎头下降标志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关节：耻骨联合、骶髂关节、骶尾关节（妊娠受激素影响轻微松动）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韧带：骶棘韧带、骶结节韧带（判断中骨盆狭窄）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分界：耻骨联合上缘、髂耻缘、骶骨岬上缘（真、假骨盆分界）</w:t>
      </w: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类型：女型（做多见）；扁平型（较多见）；类人猿型（少见）；男型（最少见）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妇女一生各时期的生理特点：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胎儿期：两条副中肾管发育为女性生殖道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卵巢再妊娠</w:t>
      </w:r>
      <w:r>
        <w:rPr>
          <w:rFonts w:hint="eastAsia"/>
          <w:color w:val="FF0000"/>
          <w:lang w:val="en-US" w:eastAsia="zh-CN"/>
        </w:rPr>
        <w:t>11~12周开始分化发育</w:t>
      </w:r>
      <w:r>
        <w:rPr>
          <w:rFonts w:hint="eastAsia"/>
          <w:lang w:val="en-US" w:eastAsia="zh-CN"/>
        </w:rPr>
        <w:t>；甲状腺是</w:t>
      </w:r>
      <w:r>
        <w:rPr>
          <w:rFonts w:hint="eastAsia"/>
          <w:color w:val="FF0000"/>
          <w:lang w:val="en-US" w:eastAsia="zh-CN"/>
        </w:rPr>
        <w:t>最早</w:t>
      </w:r>
      <w:r>
        <w:rPr>
          <w:rFonts w:hint="eastAsia"/>
          <w:lang w:val="en-US" w:eastAsia="zh-CN"/>
        </w:rPr>
        <w:t>发育的内分泌腺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新生儿期：</w:t>
      </w:r>
      <w:r>
        <w:rPr>
          <w:rFonts w:hint="eastAsia"/>
          <w:color w:val="FF0000"/>
          <w:sz w:val="18"/>
          <w:szCs w:val="18"/>
          <w:lang w:val="en-US" w:eastAsia="zh-CN"/>
        </w:rPr>
        <w:t>出生后4周内</w:t>
      </w:r>
      <w:r>
        <w:rPr>
          <w:rFonts w:hint="eastAsia"/>
          <w:sz w:val="18"/>
          <w:szCs w:val="18"/>
          <w:lang w:val="en-US" w:eastAsia="zh-CN"/>
        </w:rPr>
        <w:t>，乳房略隆起或少许泌乳，出生后出现少量阴道出血，</w:t>
      </w:r>
      <w:r>
        <w:rPr>
          <w:rFonts w:hint="eastAsia"/>
          <w:color w:val="FF0000"/>
          <w:sz w:val="18"/>
          <w:szCs w:val="18"/>
          <w:lang w:val="en-US" w:eastAsia="zh-CN"/>
        </w:rPr>
        <w:t>短期内消失（生理现象</w:t>
      </w:r>
      <w:r>
        <w:rPr>
          <w:rFonts w:hint="eastAsia"/>
          <w:color w:val="FF0000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青春期（10~19岁）：乳房发育：</w:t>
      </w:r>
      <w:r>
        <w:rPr>
          <w:rFonts w:hint="eastAsia"/>
          <w:color w:val="FF0000"/>
          <w:lang w:val="en-US" w:eastAsia="zh-CN"/>
        </w:rPr>
        <w:t>最初特征</w:t>
      </w:r>
      <w:r>
        <w:rPr>
          <w:rFonts w:hint="eastAsia"/>
          <w:lang w:val="en-US" w:eastAsia="zh-CN"/>
        </w:rPr>
        <w:t>；月经初潮：</w:t>
      </w:r>
      <w:r>
        <w:rPr>
          <w:rFonts w:hint="eastAsia"/>
          <w:color w:val="FF0000"/>
          <w:lang w:val="en-US" w:eastAsia="zh-CN"/>
        </w:rPr>
        <w:t>青春期重要标志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性成熟期：</w:t>
      </w:r>
      <w:r>
        <w:rPr>
          <w:rFonts w:hint="eastAsia"/>
          <w:color w:val="FF0000"/>
          <w:lang w:val="en-US" w:eastAsia="zh-CN"/>
        </w:rPr>
        <w:t>30岁左右</w:t>
      </w:r>
      <w:r>
        <w:rPr>
          <w:rFonts w:hint="eastAsia"/>
          <w:lang w:val="en-US" w:eastAsia="zh-CN"/>
        </w:rPr>
        <w:t>，</w:t>
      </w:r>
      <w:r>
        <w:rPr>
          <w:rFonts w:hint="eastAsia"/>
          <w:color w:val="FF0000"/>
          <w:lang w:val="en-US" w:eastAsia="zh-CN"/>
        </w:rPr>
        <w:t>旺盛生殖能力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绝境过渡期：卵巢功能开始衰退直至绝经后1年内时期称</w:t>
      </w:r>
      <w:r>
        <w:rPr>
          <w:rFonts w:hint="eastAsia"/>
          <w:color w:val="FF0000"/>
          <w:lang w:val="en-US" w:eastAsia="zh-CN"/>
        </w:rPr>
        <w:t>围绝经期</w:t>
      </w:r>
    </w:p>
    <w:p>
      <w:pPr>
        <w:numPr>
          <w:ilvl w:val="0"/>
          <w:numId w:val="0"/>
        </w:num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lang w:val="en-US" w:eastAsia="zh-CN"/>
        </w:rPr>
        <w:t>绝经后期：</w:t>
      </w:r>
      <w:r>
        <w:rPr>
          <w:rFonts w:hint="eastAsia"/>
          <w:sz w:val="18"/>
          <w:szCs w:val="18"/>
          <w:lang w:val="en-US" w:eastAsia="zh-CN"/>
        </w:rPr>
        <w:t>60岁后，卵巢卵泡耗竭，分泌E停止，</w:t>
      </w:r>
      <w:r>
        <w:rPr>
          <w:rFonts w:hint="eastAsia"/>
          <w:color w:val="FF0000"/>
          <w:sz w:val="18"/>
          <w:szCs w:val="18"/>
          <w:lang w:val="en-US" w:eastAsia="zh-CN"/>
        </w:rPr>
        <w:t>卵巢间质分泌雌激素，在外周组织转化为雌酮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卵巢周期变化：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排卵时间：下次月经来潮前 14 天左右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一生大约排卵400~500个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黄体功能达高峰：</w:t>
      </w:r>
      <w:r>
        <w:rPr>
          <w:rFonts w:ascii="宋体" w:hAnsi="宋体" w:eastAsia="宋体" w:cs="宋体"/>
          <w:color w:val="FF0000"/>
          <w:sz w:val="21"/>
          <w:szCs w:val="21"/>
        </w:rPr>
        <w:t>排卵后 7-8 日</w:t>
      </w:r>
      <w:r>
        <w:rPr>
          <w:rFonts w:ascii="宋体" w:hAnsi="宋体" w:eastAsia="宋体" w:cs="宋体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黄体开始退化：</w:t>
      </w:r>
      <w:r>
        <w:rPr>
          <w:rFonts w:ascii="宋体" w:hAnsi="宋体" w:eastAsia="宋体" w:cs="宋体"/>
          <w:color w:val="FF0000"/>
          <w:sz w:val="21"/>
          <w:szCs w:val="21"/>
        </w:rPr>
        <w:t>排卵后 9-10 日</w:t>
      </w:r>
      <w:r>
        <w:rPr>
          <w:rFonts w:ascii="宋体" w:hAnsi="宋体" w:eastAsia="宋体" w:cs="宋体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月经周期变化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</w:rPr>
        <w:t xml:space="preserve">增生期（雌激素）--分泌期（孕激素）--月经期（内膜功能层脱落）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一个月经周期中，雌激素有 2 次高峰，孕激素有 1 次高峰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月经周期变化长度取决于卵泡期（增殖期）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孕激素使基础体温在排卵后升高 0.3-0.5℃ 月经的调节：下丘脑--脑垂体--卵巢轴 </w:t>
      </w:r>
    </w:p>
    <w:p>
      <w:pPr>
        <w:numPr>
          <w:ilvl w:val="0"/>
          <w:numId w:val="0"/>
        </w:numPr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※</w:t>
      </w:r>
      <w:r>
        <w:rPr>
          <w:rFonts w:ascii="宋体" w:hAnsi="宋体" w:eastAsia="宋体" w:cs="宋体"/>
          <w:color w:val="FF0000"/>
          <w:sz w:val="21"/>
          <w:szCs w:val="21"/>
        </w:rPr>
        <w:t xml:space="preserve">记忆总结: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ascii="宋体" w:hAnsi="宋体" w:eastAsia="宋体" w:cs="宋体"/>
          <w:sz w:val="21"/>
          <w:szCs w:val="21"/>
        </w:rPr>
        <w:t xml:space="preserve">黄体生成素（LH）:排卵前骤升,排卵后骤降,可判断有无排卵,可促进黄体生成。 </w:t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ascii="宋体" w:hAnsi="宋体" w:eastAsia="宋体" w:cs="宋体"/>
          <w:sz w:val="21"/>
          <w:szCs w:val="21"/>
        </w:rPr>
        <w:t>雌激素（E）：（两高峰、两反馈）排卵前有一个高峰期，排卵后期还有一个 高峰期。</w:t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3.孕激素（P）：（一高峰、一反馈）排卵前没有高峰,排卵后期有一个高峰期。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卵巢激素（甾体激素）的功能：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来源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雌激素（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颗粒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细胞、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卵泡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膜细胞、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黄体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细胞）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孕激素（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黄体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细胞）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子宫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子宫：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提高宫缩素敏感性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子宫：降低宫缩素敏感性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内膜增生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内膜：分泌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宫颈粘液：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多、稀、易拉丝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羊齿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结晶（6~7天）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宫颈粘液：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少、稠、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易断裂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椭圆体（22天）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阴道上皮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增生角化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加快脱落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乳腺：腺管增生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钠水潴留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下丘脑：正、负反调节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乳腺：腺泡增生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水钠排出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下丘脑：负反馈调节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基础体温升高0.3~0.5℃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-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623BD9"/>
    <w:multiLevelType w:val="singleLevel"/>
    <w:tmpl w:val="B1623BD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A12391B"/>
    <w:multiLevelType w:val="singleLevel"/>
    <w:tmpl w:val="3A12391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26341E"/>
    <w:rsid w:val="427E5E78"/>
    <w:rsid w:val="47EC5657"/>
    <w:rsid w:val="4C364232"/>
    <w:rsid w:val="50D069F5"/>
    <w:rsid w:val="524C286E"/>
    <w:rsid w:val="53A10A14"/>
    <w:rsid w:val="558D327E"/>
    <w:rsid w:val="598255E2"/>
    <w:rsid w:val="6037319F"/>
    <w:rsid w:val="63CE6313"/>
    <w:rsid w:val="6506111D"/>
    <w:rsid w:val="6BDD12AE"/>
    <w:rsid w:val="6D9A5011"/>
    <w:rsid w:val="730205B7"/>
    <w:rsid w:val="73522EF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1897</Words>
  <Characters>2033</Characters>
  <Lines>1</Lines>
  <Paragraphs>1</Paragraphs>
  <TotalTime>63</TotalTime>
  <ScaleCrop>false</ScaleCrop>
  <LinksUpToDate>false</LinksUpToDate>
  <CharactersWithSpaces>2356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2019-11-19T08:36:32Z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