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ascii="微软雅黑" w:hAnsi="微软雅黑" w:eastAsia="微软雅黑" w:cs="Times New Roman"/>
          <w:b/>
          <w:kern w:val="0"/>
          <w:szCs w:val="21"/>
        </w:rPr>
      </w:pPr>
      <w:r>
        <w:rPr>
          <w:rFonts w:hint="eastAsia" w:ascii="微软雅黑" w:hAnsi="微软雅黑" w:eastAsia="微软雅黑" w:cs="Times New Roman"/>
          <w:b/>
          <w:kern w:val="0"/>
          <w:szCs w:val="21"/>
        </w:rPr>
        <w:t>封面：</w:t>
      </w:r>
    </w:p>
    <w:p>
      <w:pPr>
        <w:rPr>
          <w:rFonts w:ascii="微软雅黑" w:hAnsi="微软雅黑" w:eastAsia="微软雅黑" w:cs="Times New Roman"/>
          <w:b/>
          <w:kern w:val="0"/>
          <w:szCs w:val="21"/>
        </w:rPr>
      </w:pPr>
      <w:r>
        <w:drawing>
          <wp:inline distT="0" distB="0" distL="0" distR="0">
            <wp:extent cx="5274310" cy="7460615"/>
            <wp:effectExtent l="0" t="0" r="2540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60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center"/>
        <w:rPr>
          <w:rFonts w:ascii="微软雅黑" w:hAnsi="微软雅黑" w:eastAsia="微软雅黑" w:cs="微软雅黑"/>
          <w:bCs/>
          <w:color w:val="FF0000"/>
          <w:kern w:val="0"/>
          <w:szCs w:val="21"/>
          <w:lang w:bidi="ar"/>
        </w:rPr>
      </w:pPr>
      <w:r>
        <w:drawing>
          <wp:inline distT="0" distB="0" distL="0" distR="0">
            <wp:extent cx="5273675" cy="6215380"/>
            <wp:effectExtent l="0" t="0" r="317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85231" cy="6229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rPr>
          <w:rFonts w:ascii="宋体" w:hAnsi="宋体" w:eastAsia="宋体" w:cs="微软雅黑"/>
          <w:b/>
          <w:color w:val="7030A0"/>
          <w:kern w:val="0"/>
          <w:sz w:val="28"/>
          <w:szCs w:val="28"/>
          <w:lang w:bidi="ar"/>
        </w:rPr>
      </w:pPr>
    </w:p>
    <w:p>
      <w:pPr>
        <w:widowControl/>
        <w:rPr>
          <w:rFonts w:ascii="宋体" w:hAnsi="宋体" w:eastAsia="宋体" w:cs="微软雅黑"/>
          <w:b/>
          <w:color w:val="7030A0"/>
          <w:kern w:val="0"/>
          <w:sz w:val="30"/>
          <w:szCs w:val="30"/>
          <w:lang w:bidi="ar"/>
        </w:rPr>
      </w:pPr>
      <w:r>
        <w:rPr>
          <w:rFonts w:hint="eastAsia" w:ascii="宋体" w:hAnsi="宋体" w:eastAsia="宋体" w:cs="微软雅黑"/>
          <w:b/>
          <w:color w:val="7030A0"/>
          <w:kern w:val="0"/>
          <w:sz w:val="30"/>
          <w:szCs w:val="30"/>
          <w:lang w:bidi="ar"/>
        </w:rPr>
        <w:t>电脑端看课流程：</w:t>
      </w:r>
    </w:p>
    <w:p>
      <w:pPr>
        <w:widowControl/>
        <w:rPr>
          <w:rFonts w:ascii="宋体" w:hAnsi="宋体" w:eastAsia="宋体" w:cs="微软雅黑"/>
          <w:b/>
          <w:color w:val="7030A0"/>
          <w:kern w:val="0"/>
          <w:sz w:val="30"/>
          <w:szCs w:val="30"/>
          <w:lang w:bidi="ar"/>
        </w:rPr>
      </w:pPr>
      <w:r>
        <w:rPr>
          <w:rFonts w:hint="eastAsia" w:ascii="宋体" w:hAnsi="宋体" w:eastAsia="宋体" w:cs="微软雅黑"/>
          <w:b/>
          <w:color w:val="7030A0"/>
          <w:kern w:val="0"/>
          <w:sz w:val="30"/>
          <w:szCs w:val="30"/>
          <w:lang w:bidi="ar"/>
        </w:rPr>
        <w:t>登录</w:t>
      </w:r>
      <w:r>
        <w:fldChar w:fldCharType="begin"/>
      </w:r>
      <w:r>
        <w:instrText xml:space="preserve"> HYPERLINK "http://www.jinyingjie.com" </w:instrText>
      </w:r>
      <w:r>
        <w:fldChar w:fldCharType="separate"/>
      </w:r>
      <w:r>
        <w:rPr>
          <w:rStyle w:val="9"/>
          <w:rFonts w:hint="eastAsia" w:ascii="宋体" w:hAnsi="宋体" w:eastAsia="宋体" w:cs="微软雅黑"/>
          <w:b/>
          <w:color w:val="7030A0"/>
          <w:kern w:val="0"/>
          <w:sz w:val="30"/>
          <w:szCs w:val="30"/>
          <w:lang w:bidi="ar"/>
        </w:rPr>
        <w:t>www</w:t>
      </w:r>
      <w:r>
        <w:rPr>
          <w:rStyle w:val="9"/>
          <w:rFonts w:ascii="宋体" w:hAnsi="宋体" w:eastAsia="宋体" w:cs="微软雅黑"/>
          <w:b/>
          <w:color w:val="7030A0"/>
          <w:kern w:val="0"/>
          <w:sz w:val="30"/>
          <w:szCs w:val="30"/>
          <w:lang w:bidi="ar"/>
        </w:rPr>
        <w:t>.jinyingjie.com</w:t>
      </w:r>
      <w:r>
        <w:rPr>
          <w:rStyle w:val="9"/>
          <w:rFonts w:ascii="宋体" w:hAnsi="宋体" w:eastAsia="宋体" w:cs="微软雅黑"/>
          <w:b/>
          <w:color w:val="7030A0"/>
          <w:kern w:val="0"/>
          <w:sz w:val="30"/>
          <w:szCs w:val="30"/>
          <w:lang w:bidi="ar"/>
        </w:rPr>
        <w:fldChar w:fldCharType="end"/>
      </w:r>
      <w:r>
        <w:rPr>
          <w:rFonts w:hint="eastAsia" w:ascii="宋体" w:hAnsi="宋体" w:eastAsia="宋体" w:cs="微软雅黑"/>
          <w:b/>
          <w:color w:val="7030A0"/>
          <w:kern w:val="0"/>
          <w:sz w:val="30"/>
          <w:szCs w:val="30"/>
          <w:lang w:bidi="ar"/>
        </w:rPr>
        <w:t>,登录账号和密码，然后进入直播学院端，在“我的课程”里面观看</w:t>
      </w:r>
    </w:p>
    <w:p>
      <w:pPr>
        <w:widowControl/>
        <w:jc w:val="center"/>
        <w:rPr>
          <w:rFonts w:ascii="微软雅黑" w:hAnsi="微软雅黑" w:eastAsia="微软雅黑" w:cs="微软雅黑"/>
          <w:bCs/>
          <w:color w:val="FF0000"/>
          <w:kern w:val="0"/>
          <w:szCs w:val="21"/>
          <w:lang w:bidi="ar"/>
        </w:rPr>
      </w:pPr>
    </w:p>
    <w:p>
      <w:pPr>
        <w:widowControl/>
        <w:jc w:val="center"/>
        <w:rPr>
          <w:rFonts w:ascii="微软雅黑" w:hAnsi="微软雅黑" w:eastAsia="微软雅黑" w:cs="微软雅黑"/>
          <w:bCs/>
          <w:color w:val="FF0000"/>
          <w:kern w:val="0"/>
          <w:szCs w:val="21"/>
          <w:lang w:bidi="ar"/>
        </w:rPr>
      </w:pPr>
    </w:p>
    <w:p>
      <w:pPr>
        <w:widowControl/>
        <w:jc w:val="center"/>
        <w:rPr>
          <w:rFonts w:ascii="微软雅黑" w:hAnsi="微软雅黑" w:eastAsia="微软雅黑" w:cs="微软雅黑"/>
          <w:bCs/>
          <w:color w:val="FF0000"/>
          <w:kern w:val="0"/>
          <w:szCs w:val="21"/>
          <w:lang w:bidi="ar"/>
        </w:rPr>
      </w:pPr>
    </w:p>
    <w:p>
      <w:pPr>
        <w:jc w:val="center"/>
        <w:rPr>
          <w:rFonts w:ascii="微软雅黑" w:hAnsi="微软雅黑" w:eastAsia="微软雅黑" w:cs="微软雅黑"/>
          <w:b/>
          <w:kern w:val="0"/>
          <w:sz w:val="52"/>
          <w:szCs w:val="52"/>
        </w:rPr>
      </w:pPr>
    </w:p>
    <w:p>
      <w:pPr>
        <w:jc w:val="center"/>
        <w:rPr>
          <w:rFonts w:ascii="微软雅黑" w:hAnsi="微软雅黑" w:eastAsia="微软雅黑" w:cs="微软雅黑"/>
          <w:b/>
          <w:kern w:val="0"/>
          <w:sz w:val="52"/>
          <w:szCs w:val="52"/>
        </w:rPr>
      </w:pPr>
    </w:p>
    <w:p>
      <w:pPr>
        <w:spacing w:line="480" w:lineRule="auto"/>
        <w:jc w:val="center"/>
        <w:rPr>
          <w:rFonts w:ascii="华文仿宋" w:hAnsi="华文仿宋" w:eastAsia="华文仿宋" w:cs="微软雅黑"/>
          <w:b/>
          <w:kern w:val="0"/>
          <w:sz w:val="48"/>
          <w:szCs w:val="48"/>
        </w:rPr>
      </w:pPr>
      <w:r>
        <w:rPr>
          <w:rFonts w:hint="eastAsia" w:ascii="华文仿宋" w:hAnsi="华文仿宋" w:eastAsia="华文仿宋" w:cs="微软雅黑"/>
          <w:b/>
          <w:kern w:val="0"/>
          <w:sz w:val="48"/>
          <w:szCs w:val="48"/>
        </w:rPr>
        <w:t>金英杰直播学院</w:t>
      </w:r>
      <w:r>
        <w:rPr>
          <w:rFonts w:hint="eastAsia" w:ascii="华文仿宋" w:hAnsi="华文仿宋" w:eastAsia="华文仿宋" w:cs="微软雅黑"/>
          <w:b/>
          <w:kern w:val="0"/>
          <w:sz w:val="48"/>
          <w:szCs w:val="48"/>
        </w:rPr>
        <w:br w:type="textWrapping"/>
      </w:r>
      <w:r>
        <w:rPr>
          <w:rFonts w:hint="eastAsia" w:ascii="华文仿宋" w:hAnsi="华文仿宋" w:eastAsia="华文仿宋" w:cs="微软雅黑"/>
          <w:b/>
          <w:kern w:val="0"/>
          <w:sz w:val="48"/>
          <w:szCs w:val="48"/>
        </w:rPr>
        <w:t xml:space="preserve">乡村全科 </w:t>
      </w:r>
    </w:p>
    <w:p>
      <w:pPr>
        <w:spacing w:line="480" w:lineRule="auto"/>
        <w:jc w:val="center"/>
        <w:rPr>
          <w:rFonts w:ascii="华文仿宋" w:hAnsi="华文仿宋" w:eastAsia="华文仿宋" w:cs="微软雅黑"/>
          <w:b/>
          <w:bCs/>
          <w:sz w:val="48"/>
          <w:szCs w:val="48"/>
        </w:rPr>
      </w:pPr>
      <w:r>
        <w:rPr>
          <w:rFonts w:hint="eastAsia" w:ascii="华文仿宋" w:hAnsi="华文仿宋" w:eastAsia="华文仿宋" w:cs="微软雅黑"/>
          <w:b/>
          <w:bCs/>
          <w:sz w:val="48"/>
          <w:szCs w:val="48"/>
          <w:lang w:val="en-US" w:eastAsia="zh-CN"/>
        </w:rPr>
        <w:t>公卫</w:t>
      </w:r>
      <w:r>
        <w:rPr>
          <w:rFonts w:hint="eastAsia" w:ascii="华文仿宋" w:hAnsi="华文仿宋" w:eastAsia="华文仿宋" w:cs="微软雅黑"/>
          <w:b/>
          <w:bCs/>
          <w:sz w:val="48"/>
          <w:szCs w:val="48"/>
        </w:rPr>
        <w:t>笔记</w:t>
      </w:r>
    </w:p>
    <w:p>
      <w:pPr>
        <w:spacing w:line="480" w:lineRule="auto"/>
        <w:jc w:val="center"/>
        <w:rPr>
          <w:rFonts w:hint="eastAsia" w:ascii="华文仿宋" w:hAnsi="华文仿宋" w:eastAsia="华文仿宋" w:cs="微软雅黑"/>
          <w:b/>
          <w:bCs/>
          <w:sz w:val="48"/>
          <w:szCs w:val="48"/>
        </w:rPr>
      </w:pPr>
      <w:r>
        <w:rPr>
          <w:rFonts w:hint="eastAsia" w:ascii="华文仿宋" w:hAnsi="华文仿宋" w:eastAsia="华文仿宋" w:cs="微软雅黑"/>
          <w:b/>
          <w:bCs/>
          <w:sz w:val="48"/>
          <w:szCs w:val="48"/>
        </w:rPr>
        <w:t>2</w:t>
      </w:r>
      <w:r>
        <w:rPr>
          <w:rFonts w:ascii="华文仿宋" w:hAnsi="华文仿宋" w:eastAsia="华文仿宋" w:cs="微软雅黑"/>
          <w:b/>
          <w:bCs/>
          <w:sz w:val="48"/>
          <w:szCs w:val="48"/>
        </w:rPr>
        <w:t>019</w:t>
      </w:r>
      <w:r>
        <w:rPr>
          <w:rFonts w:hint="eastAsia" w:ascii="华文仿宋" w:hAnsi="华文仿宋" w:eastAsia="华文仿宋" w:cs="微软雅黑"/>
          <w:b/>
          <w:bCs/>
          <w:sz w:val="48"/>
          <w:szCs w:val="48"/>
        </w:rPr>
        <w:t>年1</w:t>
      </w:r>
      <w:r>
        <w:rPr>
          <w:rFonts w:hint="eastAsia" w:ascii="华文仿宋" w:hAnsi="华文仿宋" w:eastAsia="华文仿宋" w:cs="微软雅黑"/>
          <w:b/>
          <w:bCs/>
          <w:sz w:val="48"/>
          <w:szCs w:val="48"/>
          <w:lang w:val="en-US" w:eastAsia="zh-CN"/>
        </w:rPr>
        <w:t>1</w:t>
      </w:r>
      <w:r>
        <w:rPr>
          <w:rFonts w:hint="eastAsia" w:ascii="华文仿宋" w:hAnsi="华文仿宋" w:eastAsia="华文仿宋" w:cs="微软雅黑"/>
          <w:b/>
          <w:bCs/>
          <w:sz w:val="48"/>
          <w:szCs w:val="48"/>
        </w:rPr>
        <w:t>月1</w:t>
      </w:r>
      <w:r>
        <w:rPr>
          <w:rFonts w:hint="eastAsia" w:ascii="华文仿宋" w:hAnsi="华文仿宋" w:eastAsia="华文仿宋" w:cs="微软雅黑"/>
          <w:b/>
          <w:bCs/>
          <w:sz w:val="48"/>
          <w:szCs w:val="48"/>
          <w:lang w:val="en-US" w:eastAsia="zh-CN"/>
        </w:rPr>
        <w:t>3</w:t>
      </w:r>
      <w:r>
        <w:rPr>
          <w:rFonts w:hint="eastAsia" w:ascii="华文仿宋" w:hAnsi="华文仿宋" w:eastAsia="华文仿宋" w:cs="微软雅黑"/>
          <w:b/>
          <w:bCs/>
          <w:sz w:val="48"/>
          <w:szCs w:val="48"/>
        </w:rPr>
        <w:t>日</w:t>
      </w:r>
    </w:p>
    <w:p>
      <w:pPr>
        <w:spacing w:line="480" w:lineRule="auto"/>
        <w:jc w:val="center"/>
        <w:rPr>
          <w:rFonts w:hint="default" w:ascii="华文仿宋" w:hAnsi="华文仿宋" w:eastAsia="华文仿宋" w:cs="微软雅黑"/>
          <w:b/>
          <w:bCs/>
          <w:sz w:val="48"/>
          <w:szCs w:val="48"/>
          <w:lang w:val="en-US" w:eastAsia="zh-CN"/>
        </w:rPr>
      </w:pPr>
      <w:r>
        <w:rPr>
          <w:rFonts w:hint="eastAsia" w:ascii="华文仿宋" w:hAnsi="华文仿宋" w:eastAsia="华文仿宋" w:cs="微软雅黑"/>
          <w:b/>
          <w:bCs/>
          <w:sz w:val="48"/>
          <w:szCs w:val="48"/>
          <w:lang w:val="en-US" w:eastAsia="zh-CN"/>
        </w:rPr>
        <w:t>荞麦老师整理</w:t>
      </w:r>
    </w:p>
    <w:p>
      <w:pPr>
        <w:spacing w:line="360" w:lineRule="auto"/>
        <w:jc w:val="center"/>
        <w:rPr>
          <w:rFonts w:ascii="微软雅黑" w:hAnsi="微软雅黑" w:eastAsia="微软雅黑" w:cs="微软雅黑"/>
          <w:b/>
          <w:bCs/>
          <w:sz w:val="48"/>
          <w:szCs w:val="48"/>
        </w:rPr>
      </w:pPr>
      <w:bookmarkStart w:id="0" w:name="_GoBack"/>
      <w:bookmarkEnd w:id="0"/>
    </w:p>
    <w:p>
      <w:pPr>
        <w:widowControl/>
        <w:jc w:val="center"/>
        <w:rPr>
          <w:rFonts w:ascii="微软雅黑" w:hAnsi="微软雅黑" w:eastAsia="微软雅黑" w:cs="微软雅黑"/>
          <w:bCs/>
          <w:color w:val="FF0000"/>
          <w:kern w:val="0"/>
          <w:szCs w:val="21"/>
          <w:lang w:bidi="ar"/>
        </w:rPr>
      </w:pPr>
    </w:p>
    <w:p>
      <w:pPr>
        <w:widowControl/>
        <w:jc w:val="center"/>
        <w:rPr>
          <w:rFonts w:ascii="微软雅黑" w:hAnsi="微软雅黑" w:eastAsia="微软雅黑" w:cs="微软雅黑"/>
          <w:bCs/>
          <w:color w:val="FF0000"/>
          <w:kern w:val="0"/>
          <w:szCs w:val="21"/>
          <w:lang w:bidi="ar"/>
        </w:rPr>
      </w:pPr>
    </w:p>
    <w:p>
      <w:pPr>
        <w:widowControl/>
        <w:jc w:val="center"/>
        <w:rPr>
          <w:rFonts w:ascii="微软雅黑" w:hAnsi="微软雅黑" w:eastAsia="微软雅黑" w:cs="微软雅黑"/>
          <w:bCs/>
          <w:color w:val="FF0000"/>
          <w:kern w:val="0"/>
          <w:szCs w:val="21"/>
          <w:lang w:bidi="ar"/>
        </w:rPr>
      </w:pPr>
    </w:p>
    <w:p>
      <w:pPr>
        <w:widowControl/>
        <w:jc w:val="center"/>
        <w:rPr>
          <w:rFonts w:ascii="微软雅黑" w:hAnsi="微软雅黑" w:eastAsia="微软雅黑" w:cs="微软雅黑"/>
          <w:bCs/>
          <w:color w:val="FF0000"/>
          <w:kern w:val="0"/>
          <w:szCs w:val="21"/>
          <w:lang w:bidi="ar"/>
        </w:rPr>
      </w:pPr>
    </w:p>
    <w:p>
      <w:pPr>
        <w:widowControl/>
        <w:jc w:val="center"/>
        <w:rPr>
          <w:rFonts w:ascii="微软雅黑" w:hAnsi="微软雅黑" w:eastAsia="微软雅黑" w:cs="微软雅黑"/>
          <w:bCs/>
          <w:color w:val="FF0000"/>
          <w:kern w:val="0"/>
          <w:szCs w:val="21"/>
          <w:lang w:bidi="ar"/>
        </w:rPr>
      </w:pPr>
    </w:p>
    <w:p>
      <w:pPr>
        <w:widowControl/>
        <w:jc w:val="center"/>
        <w:rPr>
          <w:rFonts w:ascii="微软雅黑" w:hAnsi="微软雅黑" w:eastAsia="微软雅黑" w:cs="微软雅黑"/>
          <w:bCs/>
          <w:color w:val="FF0000"/>
          <w:kern w:val="0"/>
          <w:szCs w:val="21"/>
          <w:lang w:bidi="ar"/>
        </w:rPr>
      </w:pPr>
    </w:p>
    <w:p>
      <w:pPr>
        <w:widowControl/>
        <w:jc w:val="center"/>
        <w:rPr>
          <w:rFonts w:ascii="微软雅黑" w:hAnsi="微软雅黑" w:eastAsia="微软雅黑" w:cs="微软雅黑"/>
          <w:bCs/>
          <w:color w:val="FF0000"/>
          <w:kern w:val="0"/>
          <w:szCs w:val="21"/>
          <w:lang w:bidi="ar"/>
        </w:rPr>
      </w:pPr>
    </w:p>
    <w:p>
      <w:pPr>
        <w:widowControl/>
        <w:jc w:val="center"/>
        <w:rPr>
          <w:rFonts w:ascii="微软雅黑" w:hAnsi="微软雅黑" w:eastAsia="微软雅黑" w:cs="微软雅黑"/>
          <w:bCs/>
          <w:color w:val="FF0000"/>
          <w:kern w:val="0"/>
          <w:szCs w:val="21"/>
          <w:lang w:bidi="ar"/>
        </w:rPr>
      </w:pPr>
    </w:p>
    <w:p>
      <w:pPr>
        <w:widowControl/>
        <w:jc w:val="center"/>
        <w:rPr>
          <w:rFonts w:ascii="微软雅黑" w:hAnsi="微软雅黑" w:eastAsia="微软雅黑" w:cs="微软雅黑"/>
          <w:bCs/>
          <w:color w:val="FF0000"/>
          <w:kern w:val="0"/>
          <w:szCs w:val="21"/>
          <w:lang w:bidi="ar"/>
        </w:rPr>
      </w:pPr>
    </w:p>
    <w:p>
      <w:pPr>
        <w:widowControl/>
        <w:jc w:val="center"/>
        <w:rPr>
          <w:rFonts w:ascii="微软雅黑" w:hAnsi="微软雅黑" w:eastAsia="微软雅黑" w:cs="微软雅黑"/>
          <w:bCs/>
          <w:color w:val="FF0000"/>
          <w:kern w:val="0"/>
          <w:szCs w:val="21"/>
          <w:lang w:bidi="ar"/>
        </w:rPr>
      </w:pPr>
    </w:p>
    <w:p>
      <w:pPr>
        <w:widowControl/>
        <w:jc w:val="center"/>
        <w:rPr>
          <w:rFonts w:ascii="微软雅黑" w:hAnsi="微软雅黑" w:eastAsia="微软雅黑" w:cs="微软雅黑"/>
          <w:bCs/>
          <w:color w:val="FF0000"/>
          <w:kern w:val="0"/>
          <w:szCs w:val="21"/>
          <w:lang w:bidi="ar"/>
        </w:rPr>
      </w:pPr>
    </w:p>
    <w:p>
      <w:pPr>
        <w:widowControl/>
        <w:jc w:val="center"/>
        <w:rPr>
          <w:rFonts w:ascii="微软雅黑" w:hAnsi="微软雅黑" w:eastAsia="微软雅黑" w:cs="微软雅黑"/>
          <w:bCs/>
          <w:color w:val="FF0000"/>
          <w:kern w:val="0"/>
          <w:szCs w:val="21"/>
          <w:lang w:bidi="ar"/>
        </w:rPr>
      </w:pPr>
    </w:p>
    <w:p>
      <w:pPr>
        <w:widowControl/>
        <w:jc w:val="center"/>
        <w:rPr>
          <w:rFonts w:ascii="微软雅黑" w:hAnsi="微软雅黑" w:eastAsia="微软雅黑" w:cs="微软雅黑"/>
          <w:bCs/>
          <w:color w:val="FF0000"/>
          <w:kern w:val="0"/>
          <w:szCs w:val="21"/>
          <w:lang w:bidi="ar"/>
        </w:rPr>
      </w:pPr>
    </w:p>
    <w:p>
      <w:pPr>
        <w:widowControl/>
        <w:jc w:val="both"/>
        <w:rPr>
          <w:rFonts w:ascii="微软雅黑" w:hAnsi="微软雅黑" w:eastAsia="微软雅黑" w:cs="微软雅黑"/>
          <w:bCs/>
          <w:color w:val="FF0000"/>
          <w:kern w:val="0"/>
          <w:szCs w:val="21"/>
          <w:lang w:bidi="ar"/>
        </w:rPr>
      </w:pPr>
    </w:p>
    <w:p>
      <w:pPr>
        <w:keepNext w:val="0"/>
        <w:keepLines w:val="0"/>
        <w:widowControl/>
        <w:suppressLineNumbers w:val="0"/>
        <w:jc w:val="left"/>
      </w:pPr>
      <w:r>
        <w:rPr>
          <w:rFonts w:ascii="宋体" w:hAnsi="宋体" w:eastAsia="宋体" w:cs="宋体"/>
          <w:kern w:val="0"/>
          <w:sz w:val="24"/>
          <w:szCs w:val="24"/>
          <w:lang w:val="en-US" w:eastAsia="zh-CN" w:bidi="ar"/>
        </w:rPr>
        <w:drawing>
          <wp:inline distT="0" distB="0" distL="114300" distR="114300">
            <wp:extent cx="6116320" cy="4753610"/>
            <wp:effectExtent l="0" t="0" r="5080" b="8890"/>
            <wp:docPr id="6" name="图片 1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 descr="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47536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hint="eastAsia" w:ascii="微软雅黑" w:hAnsi="微软雅黑" w:eastAsia="微软雅黑" w:cs="微软雅黑"/>
          <w:bCs/>
          <w:color w:val="FF0000"/>
          <w:kern w:val="0"/>
          <w:sz w:val="32"/>
          <w:szCs w:val="32"/>
          <w:lang w:bidi="ar"/>
        </w:rPr>
      </w:pPr>
      <w:r>
        <w:rPr>
          <w:rFonts w:hint="eastAsia" w:ascii="微软雅黑" w:hAnsi="微软雅黑" w:eastAsia="微软雅黑" w:cs="微软雅黑"/>
          <w:bCs/>
          <w:color w:val="FF0000"/>
          <w:kern w:val="0"/>
          <w:sz w:val="32"/>
          <w:szCs w:val="32"/>
          <w:lang w:bidi="ar"/>
        </w:rPr>
        <w:t>重大公共卫生服务的内容</w:t>
      </w:r>
    </w:p>
    <w:p>
      <w:pPr>
        <w:keepNext w:val="0"/>
        <w:keepLines w:val="0"/>
        <w:widowControl/>
        <w:suppressLineNumbers w:val="0"/>
        <w:jc w:val="left"/>
        <w:rPr>
          <w:rFonts w:hint="eastAsia" w:ascii="微软雅黑" w:hAnsi="微软雅黑" w:eastAsia="微软雅黑" w:cs="微软雅黑"/>
          <w:bCs/>
          <w:color w:val="FF0000"/>
          <w:kern w:val="0"/>
          <w:szCs w:val="21"/>
          <w:lang w:bidi="ar"/>
        </w:rPr>
      </w:pPr>
      <w:r>
        <w:rPr>
          <w:rFonts w:hint="eastAsia" w:ascii="微软雅黑" w:hAnsi="微软雅黑" w:eastAsia="微软雅黑" w:cs="微软雅黑"/>
          <w:bCs/>
          <w:color w:val="FF0000"/>
          <w:kern w:val="0"/>
          <w:szCs w:val="21"/>
          <w:lang w:bidi="ar"/>
        </w:rPr>
        <w:t>重点人群：传染病、慢性病、地方病、职业病等重大疾病，无急性疾病</w:t>
      </w:r>
    </w:p>
    <w:p>
      <w:pPr>
        <w:keepNext w:val="0"/>
        <w:keepLines w:val="0"/>
        <w:widowControl/>
        <w:suppressLineNumbers w:val="0"/>
        <w:jc w:val="left"/>
        <w:rPr>
          <w:rFonts w:hint="eastAsia" w:ascii="微软雅黑" w:hAnsi="微软雅黑" w:eastAsia="微软雅黑" w:cs="微软雅黑"/>
          <w:bCs/>
          <w:color w:val="000000" w:themeColor="text1"/>
          <w:kern w:val="0"/>
          <w:szCs w:val="21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Cs/>
          <w:color w:val="FF0000"/>
          <w:kern w:val="0"/>
          <w:szCs w:val="21"/>
          <w:lang w:bidi="ar"/>
        </w:rPr>
        <w:t xml:space="preserve">    </w:t>
      </w: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Cs w:val="21"/>
          <w:lang w:bidi="ar"/>
          <w14:textFill>
            <w14:solidFill>
              <w14:schemeClr w14:val="tx1"/>
            </w14:solidFill>
          </w14:textFill>
        </w:rPr>
        <w:t>1.增补叶酸预防神经管缺陷</w:t>
      </w:r>
    </w:p>
    <w:p>
      <w:pPr>
        <w:keepNext w:val="0"/>
        <w:keepLines w:val="0"/>
        <w:widowControl/>
        <w:suppressLineNumbers w:val="0"/>
        <w:jc w:val="left"/>
        <w:rPr>
          <w:rFonts w:hint="eastAsia" w:ascii="微软雅黑" w:hAnsi="微软雅黑" w:eastAsia="微软雅黑" w:cs="微软雅黑"/>
          <w:bCs/>
          <w:color w:val="000000" w:themeColor="text1"/>
          <w:kern w:val="0"/>
          <w:szCs w:val="21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Cs w:val="21"/>
          <w:lang w:bidi="ar"/>
          <w14:textFill>
            <w14:solidFill>
              <w14:schemeClr w14:val="tx1"/>
            </w14:solidFill>
          </w14:textFill>
        </w:rPr>
        <w:t>　　2.农村孕产妇住院分娩补助</w:t>
      </w:r>
    </w:p>
    <w:p>
      <w:pPr>
        <w:keepNext w:val="0"/>
        <w:keepLines w:val="0"/>
        <w:widowControl/>
        <w:suppressLineNumbers w:val="0"/>
        <w:jc w:val="left"/>
        <w:rPr>
          <w:rFonts w:hint="eastAsia" w:ascii="微软雅黑" w:hAnsi="微软雅黑" w:eastAsia="微软雅黑" w:cs="微软雅黑"/>
          <w:bCs/>
          <w:color w:val="000000" w:themeColor="text1"/>
          <w:kern w:val="0"/>
          <w:szCs w:val="21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Cs w:val="21"/>
          <w:lang w:bidi="ar"/>
          <w14:textFill>
            <w14:solidFill>
              <w14:schemeClr w14:val="tx1"/>
            </w14:solidFill>
          </w14:textFill>
        </w:rPr>
        <w:t>　　3.“两癌”筛查（</w:t>
      </w:r>
      <w:r>
        <w:rPr>
          <w:rFonts w:hint="eastAsia" w:ascii="微软雅黑" w:hAnsi="微软雅黑" w:eastAsia="微软雅黑" w:cs="微软雅黑"/>
          <w:bCs/>
          <w:color w:val="FF0000"/>
          <w:kern w:val="0"/>
          <w:szCs w:val="21"/>
          <w:lang w:bidi="ar"/>
        </w:rPr>
        <w:t>乳腺癌、宫颈癌</w:t>
      </w: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Cs w:val="21"/>
          <w:lang w:bidi="ar"/>
          <w14:textFill>
            <w14:solidFill>
              <w14:schemeClr w14:val="tx1"/>
            </w14:solidFill>
          </w14:textFill>
        </w:rPr>
        <w:t>）</w:t>
      </w:r>
    </w:p>
    <w:p>
      <w:pPr>
        <w:keepNext w:val="0"/>
        <w:keepLines w:val="0"/>
        <w:widowControl/>
        <w:suppressLineNumbers w:val="0"/>
        <w:jc w:val="left"/>
        <w:rPr>
          <w:rFonts w:hint="eastAsia" w:ascii="微软雅黑" w:hAnsi="微软雅黑" w:eastAsia="微软雅黑" w:cs="微软雅黑"/>
          <w:bCs/>
          <w:color w:val="000000" w:themeColor="text1"/>
          <w:kern w:val="0"/>
          <w:szCs w:val="21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Cs w:val="21"/>
          <w:lang w:bidi="ar"/>
          <w14:textFill>
            <w14:solidFill>
              <w14:schemeClr w14:val="tx1"/>
            </w14:solidFill>
          </w14:textFill>
        </w:rPr>
        <w:t>　　4.预防艾滋病、</w:t>
      </w:r>
      <w:r>
        <w:rPr>
          <w:rFonts w:hint="eastAsia" w:ascii="微软雅黑" w:hAnsi="微软雅黑" w:eastAsia="微软雅黑" w:cs="微软雅黑"/>
          <w:bCs/>
          <w:color w:val="FF0000"/>
          <w:kern w:val="0"/>
          <w:szCs w:val="21"/>
          <w:lang w:bidi="ar"/>
        </w:rPr>
        <w:t>结核病</w:t>
      </w: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Cs w:val="21"/>
          <w:lang w:bidi="ar"/>
          <w14:textFill>
            <w14:solidFill>
              <w14:schemeClr w14:val="tx1"/>
            </w14:solidFill>
          </w14:textFill>
        </w:rPr>
        <w:t>、梅毒、乙肝母婴传播防控</w:t>
      </w:r>
    </w:p>
    <w:p>
      <w:pPr>
        <w:keepNext w:val="0"/>
        <w:keepLines w:val="0"/>
        <w:widowControl/>
        <w:suppressLineNumbers w:val="0"/>
        <w:jc w:val="left"/>
        <w:rPr>
          <w:rFonts w:hint="eastAsia" w:ascii="微软雅黑" w:hAnsi="微软雅黑" w:eastAsia="微软雅黑" w:cs="微软雅黑"/>
          <w:bCs/>
          <w:color w:val="000000" w:themeColor="text1"/>
          <w:kern w:val="0"/>
          <w:szCs w:val="21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Cs w:val="21"/>
          <w:lang w:bidi="ar"/>
          <w14:textFill>
            <w14:solidFill>
              <w14:schemeClr w14:val="tx1"/>
            </w14:solidFill>
          </w14:textFill>
        </w:rPr>
        <w:t>　　5.百万白内障患者复明工程</w:t>
      </w:r>
    </w:p>
    <w:p>
      <w:pPr>
        <w:keepNext w:val="0"/>
        <w:keepLines w:val="0"/>
        <w:widowControl/>
        <w:suppressLineNumbers w:val="0"/>
        <w:jc w:val="left"/>
        <w:rPr>
          <w:rFonts w:hint="eastAsia" w:ascii="微软雅黑" w:hAnsi="微软雅黑" w:eastAsia="微软雅黑" w:cs="微软雅黑"/>
          <w:bCs/>
          <w:color w:val="000000" w:themeColor="text1"/>
          <w:kern w:val="0"/>
          <w:szCs w:val="21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Cs w:val="21"/>
          <w:lang w:bidi="ar"/>
          <w14:textFill>
            <w14:solidFill>
              <w14:schemeClr w14:val="tx1"/>
            </w14:solidFill>
          </w14:textFill>
        </w:rPr>
        <w:t>　　6.农村改厕</w:t>
      </w:r>
    </w:p>
    <w:p>
      <w:pPr>
        <w:keepNext w:val="0"/>
        <w:keepLines w:val="0"/>
        <w:widowControl/>
        <w:suppressLineNumbers w:val="0"/>
        <w:jc w:val="left"/>
        <w:rPr>
          <w:rFonts w:hint="eastAsia" w:ascii="微软雅黑" w:hAnsi="微软雅黑" w:eastAsia="微软雅黑" w:cs="微软雅黑"/>
          <w:bCs/>
          <w:color w:val="000000" w:themeColor="text1"/>
          <w:kern w:val="0"/>
          <w:szCs w:val="21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Cs w:val="21"/>
          <w:lang w:bidi="ar"/>
          <w14:textFill>
            <w14:solidFill>
              <w14:schemeClr w14:val="tx1"/>
            </w14:solidFill>
          </w14:textFill>
        </w:rPr>
        <w:t>　　7.国家免疫规划</w:t>
      </w:r>
    </w:p>
    <w:p>
      <w:pPr>
        <w:keepNext w:val="0"/>
        <w:keepLines w:val="0"/>
        <w:widowControl/>
        <w:suppressLineNumbers w:val="0"/>
        <w:jc w:val="left"/>
        <w:rPr>
          <w:rFonts w:hint="eastAsia" w:ascii="微软雅黑" w:hAnsi="微软雅黑" w:eastAsia="微软雅黑" w:cs="微软雅黑"/>
          <w:bCs/>
          <w:color w:val="000000" w:themeColor="text1"/>
          <w:kern w:val="0"/>
          <w:szCs w:val="21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Cs w:val="21"/>
          <w:lang w:bidi="ar"/>
          <w14:textFill>
            <w14:solidFill>
              <w14:schemeClr w14:val="tx1"/>
            </w14:solidFill>
          </w14:textFill>
        </w:rPr>
        <w:t>　　8.消除燃煤型氟中毒</w:t>
      </w:r>
    </w:p>
    <w:p>
      <w:pPr>
        <w:keepNext w:val="0"/>
        <w:keepLines w:val="0"/>
        <w:widowControl/>
        <w:suppressLineNumbers w:val="0"/>
        <w:ind w:firstLine="420"/>
        <w:jc w:val="left"/>
        <w:rPr>
          <w:rFonts w:hint="eastAsia" w:ascii="微软雅黑" w:hAnsi="微软雅黑" w:eastAsia="微软雅黑" w:cs="微软雅黑"/>
          <w:bCs/>
          <w:color w:val="000000" w:themeColor="text1"/>
          <w:kern w:val="0"/>
          <w:szCs w:val="21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Cs w:val="21"/>
          <w:lang w:bidi="ar"/>
          <w14:textFill>
            <w14:solidFill>
              <w14:schemeClr w14:val="tx1"/>
            </w14:solidFill>
          </w14:textFill>
        </w:rPr>
        <w:t>9.15岁以下人群补种乙肝疫苗</w:t>
      </w:r>
    </w:p>
    <w:p>
      <w:pPr>
        <w:keepNext w:val="0"/>
        <w:keepLines w:val="0"/>
        <w:widowControl/>
        <w:suppressLineNumbers w:val="0"/>
        <w:ind w:firstLine="420"/>
        <w:jc w:val="left"/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  <w:t>国家基本公共卫生服务的内容（12项目）</w:t>
      </w:r>
    </w:p>
    <w:p>
      <w:pPr>
        <w:keepNext w:val="0"/>
        <w:keepLines w:val="0"/>
        <w:widowControl/>
        <w:suppressLineNumbers w:val="0"/>
        <w:ind w:firstLine="420"/>
        <w:jc w:val="left"/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  <w:t>1.城乡居民健康档案管理</w:t>
      </w:r>
    </w:p>
    <w:p>
      <w:pPr>
        <w:keepNext w:val="0"/>
        <w:keepLines w:val="0"/>
        <w:widowControl/>
        <w:suppressLineNumbers w:val="0"/>
        <w:ind w:firstLine="420"/>
        <w:jc w:val="left"/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  <w:t>　　2.健康教育</w:t>
      </w:r>
    </w:p>
    <w:p>
      <w:pPr>
        <w:keepNext w:val="0"/>
        <w:keepLines w:val="0"/>
        <w:widowControl/>
        <w:suppressLineNumbers w:val="0"/>
        <w:ind w:firstLine="420"/>
        <w:jc w:val="left"/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  <w:t>　　3.预防接种</w:t>
      </w:r>
    </w:p>
    <w:p>
      <w:pPr>
        <w:keepNext w:val="0"/>
        <w:keepLines w:val="0"/>
        <w:widowControl/>
        <w:suppressLineNumbers w:val="0"/>
        <w:ind w:firstLine="420"/>
        <w:jc w:val="left"/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  <w:t>　　4.儿童健康管理</w:t>
      </w:r>
    </w:p>
    <w:p>
      <w:pPr>
        <w:keepNext w:val="0"/>
        <w:keepLines w:val="0"/>
        <w:widowControl/>
        <w:suppressLineNumbers w:val="0"/>
        <w:ind w:firstLine="420"/>
        <w:jc w:val="left"/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  <w:t>　　5.孕产妇健康管理</w:t>
      </w:r>
    </w:p>
    <w:p>
      <w:pPr>
        <w:keepNext w:val="0"/>
        <w:keepLines w:val="0"/>
        <w:widowControl/>
        <w:suppressLineNumbers w:val="0"/>
        <w:ind w:firstLine="420"/>
        <w:jc w:val="left"/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  <w:t>　　6.老年人健康管理</w:t>
      </w:r>
    </w:p>
    <w:p>
      <w:pPr>
        <w:keepNext w:val="0"/>
        <w:keepLines w:val="0"/>
        <w:widowControl/>
        <w:suppressLineNumbers w:val="0"/>
        <w:ind w:firstLine="420"/>
        <w:jc w:val="left"/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  <w:t>　　7.慢性病患者健康管理（高血压、糖尿病）</w:t>
      </w:r>
    </w:p>
    <w:p>
      <w:pPr>
        <w:keepNext w:val="0"/>
        <w:keepLines w:val="0"/>
        <w:widowControl/>
        <w:suppressLineNumbers w:val="0"/>
        <w:ind w:firstLine="420"/>
        <w:jc w:val="left"/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  <w:t>　　8.重性精神病患者管理</w:t>
      </w:r>
    </w:p>
    <w:p>
      <w:pPr>
        <w:keepNext w:val="0"/>
        <w:keepLines w:val="0"/>
        <w:widowControl/>
        <w:suppressLineNumbers w:val="0"/>
        <w:ind w:firstLine="420"/>
        <w:jc w:val="left"/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  <w:t>　　9.结核病患者健康管理</w:t>
      </w:r>
    </w:p>
    <w:p>
      <w:pPr>
        <w:keepNext w:val="0"/>
        <w:keepLines w:val="0"/>
        <w:widowControl/>
        <w:suppressLineNumbers w:val="0"/>
        <w:ind w:firstLine="420"/>
        <w:jc w:val="left"/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  <w:t>　　10.传染病及突发公共卫生事件报告和处理服务</w:t>
      </w:r>
    </w:p>
    <w:p>
      <w:pPr>
        <w:keepNext w:val="0"/>
        <w:keepLines w:val="0"/>
        <w:widowControl/>
        <w:suppressLineNumbers w:val="0"/>
        <w:ind w:firstLine="420"/>
        <w:jc w:val="left"/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  <w:t>　　11.中医药健康管理</w:t>
      </w:r>
    </w:p>
    <w:p>
      <w:pPr>
        <w:keepNext w:val="0"/>
        <w:keepLines w:val="0"/>
        <w:widowControl/>
        <w:suppressLineNumbers w:val="0"/>
        <w:ind w:firstLine="420"/>
        <w:jc w:val="left"/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  <w:t>　　12.卫生监督协管服务</w:t>
      </w:r>
    </w:p>
    <w:p>
      <w:pPr>
        <w:keepNext w:val="0"/>
        <w:keepLines w:val="0"/>
        <w:widowControl/>
        <w:suppressLineNumbers w:val="0"/>
        <w:ind w:firstLine="420"/>
        <w:jc w:val="left"/>
        <w:rPr>
          <w:rFonts w:hint="eastAsia" w:ascii="微软雅黑" w:hAnsi="微软雅黑" w:eastAsia="微软雅黑" w:cs="微软雅黑"/>
          <w:bCs/>
          <w:color w:val="000000" w:themeColor="text1"/>
          <w:kern w:val="0"/>
          <w:sz w:val="32"/>
          <w:szCs w:val="32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 w:val="32"/>
          <w:szCs w:val="32"/>
          <w:lang w:bidi="ar"/>
          <w14:textFill>
            <w14:solidFill>
              <w14:schemeClr w14:val="tx1"/>
            </w14:solidFill>
          </w14:textFill>
        </w:rPr>
        <w:t>中医预防与养生保健的基本原则（新）</w:t>
      </w:r>
    </w:p>
    <w:p>
      <w:pPr>
        <w:keepNext w:val="0"/>
        <w:keepLines w:val="0"/>
        <w:widowControl/>
        <w:suppressLineNumbers w:val="0"/>
        <w:ind w:firstLine="420"/>
        <w:jc w:val="left"/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  <w:t xml:space="preserve">   1.天人相应，顺应自然</w:t>
      </w:r>
    </w:p>
    <w:p>
      <w:pPr>
        <w:keepNext w:val="0"/>
        <w:keepLines w:val="0"/>
        <w:widowControl/>
        <w:suppressLineNumbers w:val="0"/>
        <w:ind w:firstLine="420"/>
        <w:jc w:val="left"/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  <w:t>　　2.形神合一，形神共养</w:t>
      </w:r>
    </w:p>
    <w:p>
      <w:pPr>
        <w:keepNext w:val="0"/>
        <w:keepLines w:val="0"/>
        <w:widowControl/>
        <w:suppressLineNumbers w:val="0"/>
        <w:ind w:firstLine="420"/>
        <w:jc w:val="left"/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  <w:t>　　3.动静互涵，协调平衡</w:t>
      </w:r>
    </w:p>
    <w:p>
      <w:pPr>
        <w:keepNext w:val="0"/>
        <w:keepLines w:val="0"/>
        <w:widowControl/>
        <w:suppressLineNumbers w:val="0"/>
        <w:ind w:firstLine="420"/>
        <w:jc w:val="left"/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  <w:t>　　4.重视先兆，防微杜渐</w:t>
      </w:r>
    </w:p>
    <w:p>
      <w:pPr>
        <w:keepNext w:val="0"/>
        <w:keepLines w:val="0"/>
        <w:widowControl/>
        <w:suppressLineNumbers w:val="0"/>
        <w:ind w:firstLine="420"/>
        <w:jc w:val="left"/>
        <w:rPr>
          <w:rFonts w:hint="eastAsia" w:ascii="微软雅黑" w:hAnsi="微软雅黑" w:eastAsia="微软雅黑" w:cs="微软雅黑"/>
          <w:bCs/>
          <w:color w:val="FF0000"/>
          <w:kern w:val="0"/>
          <w:sz w:val="28"/>
          <w:szCs w:val="28"/>
          <w:lang w:bidi="ar"/>
        </w:rPr>
      </w:pP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  <w:t>　　</w:t>
      </w:r>
      <w:r>
        <w:rPr>
          <w:rFonts w:hint="eastAsia" w:ascii="微软雅黑" w:hAnsi="微软雅黑" w:eastAsia="微软雅黑" w:cs="微软雅黑"/>
          <w:bCs/>
          <w:color w:val="FF0000"/>
          <w:kern w:val="0"/>
          <w:sz w:val="28"/>
          <w:szCs w:val="28"/>
          <w:lang w:bidi="ar"/>
        </w:rPr>
        <w:t>记忆：顺天意，形神共养，动静协调，防先兆</w:t>
      </w:r>
    </w:p>
    <w:p>
      <w:pPr>
        <w:keepNext w:val="0"/>
        <w:keepLines w:val="0"/>
        <w:widowControl/>
        <w:suppressLineNumbers w:val="0"/>
        <w:ind w:firstLine="420"/>
        <w:jc w:val="left"/>
        <w:rPr>
          <w:rFonts w:hint="eastAsia" w:ascii="微软雅黑" w:hAnsi="微软雅黑" w:eastAsia="微软雅黑" w:cs="微软雅黑"/>
          <w:bCs/>
          <w:color w:val="FF0000"/>
          <w:kern w:val="0"/>
          <w:sz w:val="28"/>
          <w:szCs w:val="28"/>
          <w:lang w:bidi="ar"/>
        </w:rPr>
      </w:pPr>
      <w:r>
        <w:rPr>
          <w:rFonts w:hint="eastAsia" w:ascii="微软雅黑" w:hAnsi="微软雅黑" w:eastAsia="微软雅黑" w:cs="微软雅黑"/>
          <w:bCs/>
          <w:color w:val="FF0000"/>
          <w:kern w:val="0"/>
          <w:sz w:val="28"/>
          <w:szCs w:val="28"/>
          <w:lang w:bidi="ar"/>
        </w:rPr>
        <w:t>中医预防与养生保健的服务方式</w:t>
      </w:r>
    </w:p>
    <w:p>
      <w:pPr>
        <w:keepNext w:val="0"/>
        <w:keepLines w:val="0"/>
        <w:widowControl/>
        <w:suppressLineNumbers w:val="0"/>
        <w:ind w:firstLine="420"/>
        <w:jc w:val="left"/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Cs/>
          <w:color w:val="FF0000"/>
          <w:kern w:val="0"/>
          <w:sz w:val="28"/>
          <w:szCs w:val="28"/>
          <w:lang w:bidi="ar"/>
        </w:rPr>
        <w:t>　　</w:t>
      </w: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  <w:t>1.针灸、推拿、刮痧拔罐及经络养生</w:t>
      </w:r>
    </w:p>
    <w:p>
      <w:pPr>
        <w:keepNext w:val="0"/>
        <w:keepLines w:val="0"/>
        <w:widowControl/>
        <w:suppressLineNumbers w:val="0"/>
        <w:ind w:firstLine="420"/>
        <w:jc w:val="left"/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  <w:t>　　2.四时养生</w:t>
      </w:r>
    </w:p>
    <w:p>
      <w:pPr>
        <w:keepNext w:val="0"/>
        <w:keepLines w:val="0"/>
        <w:widowControl/>
        <w:suppressLineNumbers w:val="0"/>
        <w:ind w:firstLine="420"/>
        <w:jc w:val="left"/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  <w:t>　　3.食疗与药膳</w:t>
      </w:r>
    </w:p>
    <w:p>
      <w:pPr>
        <w:keepNext w:val="0"/>
        <w:keepLines w:val="0"/>
        <w:widowControl/>
        <w:suppressLineNumbers w:val="0"/>
        <w:ind w:firstLine="420"/>
        <w:jc w:val="left"/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  <w:t>　　4.冬病夏治</w:t>
      </w:r>
    </w:p>
    <w:p>
      <w:pPr>
        <w:keepNext w:val="0"/>
        <w:keepLines w:val="0"/>
        <w:widowControl/>
        <w:suppressLineNumbers w:val="0"/>
        <w:ind w:firstLine="420"/>
        <w:jc w:val="left"/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  <w:t>　　5.五禽戏、八段锦、太极拳、扇舞及气功导引等</w:t>
      </w:r>
    </w:p>
    <w:p>
      <w:pPr>
        <w:keepNext w:val="0"/>
        <w:keepLines w:val="0"/>
        <w:widowControl/>
        <w:suppressLineNumbers w:val="0"/>
        <w:ind w:firstLine="420"/>
        <w:jc w:val="left"/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  <w:t xml:space="preserve">    6.调摄情志</w:t>
      </w:r>
    </w:p>
    <w:p>
      <w:pPr>
        <w:keepNext w:val="0"/>
        <w:keepLines w:val="0"/>
        <w:widowControl/>
        <w:suppressLineNumbers w:val="0"/>
        <w:ind w:firstLine="420"/>
        <w:jc w:val="left"/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  <w:t xml:space="preserve">    7.体质养生</w:t>
      </w:r>
    </w:p>
    <w:p>
      <w:pPr>
        <w:keepNext w:val="0"/>
        <w:keepLines w:val="0"/>
        <w:widowControl/>
        <w:suppressLineNumbers w:val="0"/>
        <w:ind w:firstLine="420"/>
        <w:jc w:val="left"/>
        <w:rPr>
          <w:rFonts w:hint="eastAsia" w:ascii="微软雅黑" w:hAnsi="微软雅黑" w:eastAsia="微软雅黑" w:cs="微软雅黑"/>
          <w:bCs/>
          <w:color w:val="FF0000"/>
          <w:kern w:val="0"/>
          <w:sz w:val="28"/>
          <w:szCs w:val="28"/>
          <w:lang w:bidi="ar"/>
        </w:rPr>
      </w:pPr>
      <w:r>
        <w:rPr>
          <w:rFonts w:hint="eastAsia" w:ascii="微软雅黑" w:hAnsi="微软雅黑" w:eastAsia="微软雅黑" w:cs="微软雅黑"/>
          <w:bCs/>
          <w:color w:val="FF0000"/>
          <w:kern w:val="0"/>
          <w:sz w:val="28"/>
          <w:szCs w:val="28"/>
          <w:lang w:bidi="ar"/>
        </w:rPr>
        <w:t>记忆：针推刮痧调体质，食疗药膳458</w:t>
      </w:r>
    </w:p>
    <w:p>
      <w:pPr>
        <w:keepNext w:val="0"/>
        <w:keepLines w:val="0"/>
        <w:widowControl/>
        <w:suppressLineNumbers w:val="0"/>
        <w:ind w:firstLine="420"/>
        <w:jc w:val="left"/>
        <w:rPr>
          <w:rFonts w:hint="eastAsia" w:ascii="微软雅黑" w:hAnsi="微软雅黑" w:eastAsia="微软雅黑" w:cs="微软雅黑"/>
          <w:bCs/>
          <w:color w:val="FF0000"/>
          <w:kern w:val="0"/>
          <w:sz w:val="36"/>
          <w:szCs w:val="36"/>
          <w:lang w:bidi="ar"/>
        </w:rPr>
      </w:pPr>
      <w:r>
        <w:rPr>
          <w:rFonts w:hint="eastAsia" w:ascii="微软雅黑" w:hAnsi="微软雅黑" w:eastAsia="微软雅黑" w:cs="微软雅黑"/>
          <w:bCs/>
          <w:color w:val="FF0000"/>
          <w:kern w:val="0"/>
          <w:sz w:val="36"/>
          <w:szCs w:val="36"/>
          <w:lang w:bidi="ar"/>
        </w:rPr>
        <w:t>中医预防与养生保健的主要内容</w:t>
      </w:r>
    </w:p>
    <w:p>
      <w:pPr>
        <w:keepNext w:val="0"/>
        <w:keepLines w:val="0"/>
        <w:widowControl/>
        <w:suppressLineNumbers w:val="0"/>
        <w:ind w:firstLine="420"/>
        <w:jc w:val="left"/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  <w:t>1.针对当地的气候条件、地理环境、风俗习惯，……</w:t>
      </w:r>
    </w:p>
    <w:p>
      <w:pPr>
        <w:keepNext w:val="0"/>
        <w:keepLines w:val="0"/>
        <w:widowControl/>
        <w:suppressLineNumbers w:val="0"/>
        <w:ind w:firstLine="420"/>
        <w:jc w:val="left"/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  <w:t>2.针对季节性易感疾病和传染性疾病的易感人群，……</w:t>
      </w:r>
    </w:p>
    <w:p>
      <w:pPr>
        <w:keepNext w:val="0"/>
        <w:keepLines w:val="0"/>
        <w:widowControl/>
        <w:suppressLineNumbers w:val="0"/>
        <w:ind w:firstLine="420"/>
        <w:jc w:val="left"/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  <w:t>3.针对孕产妇，……</w:t>
      </w:r>
    </w:p>
    <w:p>
      <w:pPr>
        <w:keepNext w:val="0"/>
        <w:keepLines w:val="0"/>
        <w:widowControl/>
        <w:suppressLineNumbers w:val="0"/>
        <w:ind w:firstLine="420"/>
        <w:jc w:val="left"/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  <w:t>4.通过健康教育，……</w:t>
      </w:r>
    </w:p>
    <w:p>
      <w:pPr>
        <w:keepNext w:val="0"/>
        <w:keepLines w:val="0"/>
        <w:widowControl/>
        <w:suppressLineNumbers w:val="0"/>
        <w:ind w:firstLine="420"/>
        <w:jc w:val="left"/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  <w:t>5.社区开展中医“治未病”服务，……</w:t>
      </w:r>
    </w:p>
    <w:p>
      <w:pPr>
        <w:keepNext w:val="0"/>
        <w:keepLines w:val="0"/>
        <w:widowControl/>
        <w:suppressLineNumbers w:val="0"/>
        <w:ind w:firstLine="420"/>
        <w:jc w:val="left"/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  <w:t>6.在社区开展中医药养生保健科普活动，……</w:t>
      </w:r>
    </w:p>
    <w:p>
      <w:pPr>
        <w:keepNext w:val="0"/>
        <w:keepLines w:val="0"/>
        <w:widowControl/>
        <w:suppressLineNumbers w:val="0"/>
        <w:ind w:firstLine="420"/>
        <w:jc w:val="left"/>
        <w:rPr>
          <w:rFonts w:hint="eastAsia" w:ascii="微软雅黑" w:hAnsi="微软雅黑" w:eastAsia="微软雅黑" w:cs="微软雅黑"/>
          <w:bCs/>
          <w:color w:val="FF0000"/>
          <w:kern w:val="0"/>
          <w:sz w:val="28"/>
          <w:szCs w:val="28"/>
          <w:lang w:bidi="ar"/>
        </w:rPr>
      </w:pPr>
      <w:r>
        <w:rPr>
          <w:rFonts w:hint="eastAsia" w:ascii="微软雅黑" w:hAnsi="微软雅黑" w:eastAsia="微软雅黑" w:cs="微软雅黑"/>
          <w:bCs/>
          <w:color w:val="FF0000"/>
          <w:kern w:val="0"/>
          <w:sz w:val="28"/>
          <w:szCs w:val="28"/>
          <w:lang w:bidi="ar"/>
        </w:rPr>
        <w:t>记忆：孕妇、未、（进行）养生教育，易感气地风</w:t>
      </w:r>
    </w:p>
    <w:p>
      <w:pPr>
        <w:keepNext w:val="0"/>
        <w:keepLines w:val="0"/>
        <w:widowControl/>
        <w:suppressLineNumbers w:val="0"/>
        <w:ind w:firstLine="420"/>
        <w:jc w:val="left"/>
        <w:rPr>
          <w:rFonts w:hint="eastAsia" w:ascii="微软雅黑" w:hAnsi="微软雅黑" w:eastAsia="微软雅黑" w:cs="微软雅黑"/>
          <w:bCs/>
          <w:color w:val="FF0000"/>
          <w:kern w:val="0"/>
          <w:sz w:val="36"/>
          <w:szCs w:val="36"/>
          <w:lang w:bidi="ar"/>
        </w:rPr>
      </w:pPr>
    </w:p>
    <w:p>
      <w:pPr>
        <w:keepNext w:val="0"/>
        <w:keepLines w:val="0"/>
        <w:widowControl/>
        <w:suppressLineNumbers w:val="0"/>
        <w:ind w:firstLine="420"/>
        <w:jc w:val="left"/>
        <w:rPr>
          <w:rFonts w:hint="eastAsia" w:ascii="微软雅黑" w:hAnsi="微软雅黑" w:eastAsia="微软雅黑" w:cs="微软雅黑"/>
          <w:bCs/>
          <w:color w:val="FF0000"/>
          <w:kern w:val="0"/>
          <w:sz w:val="28"/>
          <w:szCs w:val="28"/>
          <w:lang w:bidi="ar"/>
        </w:rPr>
      </w:pPr>
    </w:p>
    <w:p>
      <w:pPr>
        <w:keepNext w:val="0"/>
        <w:keepLines w:val="0"/>
        <w:widowControl/>
        <w:suppressLineNumbers w:val="0"/>
        <w:ind w:firstLine="420"/>
        <w:jc w:val="left"/>
        <w:rPr>
          <w:rFonts w:hint="eastAsia" w:ascii="微软雅黑" w:hAnsi="微软雅黑" w:eastAsia="微软雅黑" w:cs="微软雅黑"/>
          <w:bCs/>
          <w:color w:val="000000" w:themeColor="text1"/>
          <w:kern w:val="0"/>
          <w:sz w:val="28"/>
          <w:szCs w:val="28"/>
          <w:lang w:bidi="ar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widowControl/>
        <w:suppressLineNumbers w:val="0"/>
        <w:ind w:firstLine="420"/>
        <w:jc w:val="left"/>
        <w:rPr>
          <w:rFonts w:hint="eastAsia" w:ascii="微软雅黑" w:hAnsi="微软雅黑" w:eastAsia="微软雅黑" w:cs="微软雅黑"/>
          <w:bCs/>
          <w:color w:val="000000" w:themeColor="text1"/>
          <w:kern w:val="0"/>
          <w:szCs w:val="21"/>
          <w:lang w:bidi="ar"/>
          <w14:textFill>
            <w14:solidFill>
              <w14:schemeClr w14:val="tx1"/>
            </w14:solidFill>
          </w14:textFill>
        </w:rPr>
      </w:pPr>
    </w:p>
    <w:p>
      <w:pPr>
        <w:keepNext w:val="0"/>
        <w:keepLines w:val="0"/>
        <w:widowControl/>
        <w:suppressLineNumbers w:val="0"/>
        <w:jc w:val="left"/>
        <w:rPr>
          <w:rFonts w:ascii="微软雅黑" w:hAnsi="微软雅黑" w:eastAsia="微软雅黑" w:cs="微软雅黑"/>
          <w:bCs/>
          <w:color w:val="FF0000"/>
          <w:kern w:val="0"/>
          <w:szCs w:val="21"/>
          <w:lang w:bidi="ar"/>
        </w:rPr>
      </w:pPr>
    </w:p>
    <w:p>
      <w:pPr>
        <w:widowControl/>
        <w:jc w:val="center"/>
        <w:rPr>
          <w:rFonts w:ascii="微软雅黑" w:hAnsi="微软雅黑" w:eastAsia="微软雅黑" w:cs="微软雅黑"/>
          <w:bCs/>
          <w:color w:val="FF0000"/>
          <w:kern w:val="0"/>
          <w:szCs w:val="21"/>
          <w:lang w:bidi="ar"/>
        </w:rPr>
      </w:pPr>
    </w:p>
    <w:p>
      <w:pPr>
        <w:widowControl/>
        <w:jc w:val="center"/>
        <w:rPr>
          <w:rFonts w:ascii="微软雅黑" w:hAnsi="微软雅黑" w:eastAsia="微软雅黑" w:cs="微软雅黑"/>
          <w:bCs/>
          <w:color w:val="FF0000"/>
          <w:kern w:val="0"/>
          <w:szCs w:val="21"/>
          <w:lang w:bidi="ar"/>
        </w:rPr>
      </w:pPr>
      <w:r>
        <w:rPr>
          <w:rFonts w:ascii="微软雅黑" w:hAnsi="微软雅黑" w:eastAsia="微软雅黑" w:cs="微软雅黑"/>
          <w:bCs/>
          <w:color w:val="FF0000"/>
          <w:kern w:val="0"/>
          <w:szCs w:val="21"/>
          <w:lang w:bidi="ar"/>
        </w:rPr>
        <w:drawing>
          <wp:inline distT="0" distB="0" distL="0" distR="0">
            <wp:extent cx="5274310" cy="8154035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5218" cy="81557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华文仿宋">
    <w:altName w:val="仿宋"/>
    <w:panose1 w:val="00000000000000000000"/>
    <w:charset w:val="86"/>
    <w:family w:val="auto"/>
    <w:pitch w:val="default"/>
    <w:sig w:usb0="00000000" w:usb1="00000000" w:usb2="00000010" w:usb3="00000000" w:csb0="000400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rPr>
        <w:rFonts w:ascii="微软雅黑" w:hAnsi="微软雅黑" w:eastAsia="微软雅黑"/>
      </w:rPr>
    </w:pPr>
    <w:r>
      <w:drawing>
        <wp:anchor distT="0" distB="0" distL="114300" distR="114300" simplePos="0" relativeHeight="251657216" behindDoc="1" locked="0" layoutInCell="1" allowOverlap="1">
          <wp:simplePos x="0" y="0"/>
          <wp:positionH relativeFrom="margin">
            <wp:posOffset>1322070</wp:posOffset>
          </wp:positionH>
          <wp:positionV relativeFrom="margin">
            <wp:posOffset>600710</wp:posOffset>
          </wp:positionV>
          <wp:extent cx="3124835" cy="2937510"/>
          <wp:effectExtent l="0" t="0" r="0" b="0"/>
          <wp:wrapNone/>
          <wp:docPr id="3" name="WordPictureWatermark30334" descr="彩色logo竖版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WordPictureWatermark30334" descr="彩色logo竖版"/>
                  <pic:cNvPicPr>
                    <a:picLocks noChangeAspect="1"/>
                  </pic:cNvPicPr>
                </pic:nvPicPr>
                <pic:blipFill>
                  <a:blip r:embed="rId1">
                    <a:lum bright="69998" contrast="-70001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124835" cy="293751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  <w:r>
      <w:drawing>
        <wp:anchor distT="0" distB="0" distL="114300" distR="114300" simplePos="0" relativeHeight="251658240" behindDoc="1" locked="0" layoutInCell="1" allowOverlap="1">
          <wp:simplePos x="0" y="0"/>
          <wp:positionH relativeFrom="margin">
            <wp:posOffset>1350645</wp:posOffset>
          </wp:positionH>
          <wp:positionV relativeFrom="margin">
            <wp:posOffset>3658235</wp:posOffset>
          </wp:positionV>
          <wp:extent cx="3124835" cy="2937510"/>
          <wp:effectExtent l="0" t="0" r="0" b="0"/>
          <wp:wrapNone/>
          <wp:docPr id="4" name="WordPictureWatermark30334" descr="彩色logo竖版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WordPictureWatermark30334" descr="彩色logo竖版"/>
                  <pic:cNvPicPr>
                    <a:picLocks noChangeAspect="1"/>
                  </pic:cNvPicPr>
                </pic:nvPicPr>
                <pic:blipFill>
                  <a:blip r:embed="rId1">
                    <a:lum bright="69998" contrast="-70001"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124835" cy="2937510"/>
                  </a:xfrm>
                  <a:prstGeom prst="rect">
                    <a:avLst/>
                  </a:prstGeom>
                  <a:noFill/>
                  <a:ln w="9525"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</w:rPr>
      <w:t xml:space="preserve">直播笔记（直播习题）                                      </w:t>
    </w:r>
    <w:r>
      <w:rPr>
        <w:rFonts w:hint="eastAsia" w:ascii="微软雅黑" w:hAnsi="微软雅黑" w:eastAsia="微软雅黑"/>
      </w:rPr>
      <w:t xml:space="preserve"> 奋斗没有终点，任何时候都是一个起点  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  <w:r>
      <w:pict>
        <v:shape id="PowerPlusWaterMarkObject64892" o:spid="_x0000_s3073" o:spt="136" type="#_x0000_t136" style="position:absolute;left:0pt;height:79.2pt;width:508.05pt;mso-position-horizontal:center;mso-position-horizontal-relative:margin;mso-position-vertical:center;mso-position-vertical-relative:margin;rotation:-2949120f;z-index:-251658240;mso-width-relative:page;mso-height-relative:page;" fillcolor="#C0C0C0" filled="t" stroked="f" coordsize="21600,21600">
          <v:path/>
          <v:fill on="t" opacity="49807f" focussize="0,0"/>
          <v:stroke on="f"/>
          <v:imagedata o:title=""/>
          <o:lock v:ext="edit" aspectratio="t"/>
          <v:textpath on="t" fitshape="t" fitpath="t" trim="t" xscale="f" string="金英杰直播专属" style="font-family:华文行楷;font-size:36pt;v-text-align:center;"/>
        </v:shape>
      </w:pict>
    </w:r>
    <w:r>
      <w:rPr>
        <w:rFonts w:hint="eastAsia" w:ascii="微软雅黑" w:hAnsi="微软雅黑" w:eastAsia="微软雅黑"/>
      </w:rPr>
      <w:t>金英杰直播学院                                                                  4006061615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hdrShapeDefaults>
    <o:shapelayout v:ext="edit">
      <o:idmap v:ext="edit" data="2,3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1098"/>
    <w:rsid w:val="000234AB"/>
    <w:rsid w:val="000261E0"/>
    <w:rsid w:val="00031885"/>
    <w:rsid w:val="00073C5F"/>
    <w:rsid w:val="000776A4"/>
    <w:rsid w:val="000A5D69"/>
    <w:rsid w:val="000A6634"/>
    <w:rsid w:val="000B09B5"/>
    <w:rsid w:val="000C4189"/>
    <w:rsid w:val="000E6346"/>
    <w:rsid w:val="000E7F46"/>
    <w:rsid w:val="000F74D6"/>
    <w:rsid w:val="0012525B"/>
    <w:rsid w:val="001504B5"/>
    <w:rsid w:val="0015513B"/>
    <w:rsid w:val="00156DFF"/>
    <w:rsid w:val="0017595B"/>
    <w:rsid w:val="001C07FA"/>
    <w:rsid w:val="001E5DA1"/>
    <w:rsid w:val="001F1098"/>
    <w:rsid w:val="002141F8"/>
    <w:rsid w:val="00260530"/>
    <w:rsid w:val="002A62D8"/>
    <w:rsid w:val="002D75A9"/>
    <w:rsid w:val="0030366C"/>
    <w:rsid w:val="00315C2A"/>
    <w:rsid w:val="0037065B"/>
    <w:rsid w:val="00370AF5"/>
    <w:rsid w:val="00394F2F"/>
    <w:rsid w:val="003C5E8E"/>
    <w:rsid w:val="003D5EDA"/>
    <w:rsid w:val="003F6265"/>
    <w:rsid w:val="004039A1"/>
    <w:rsid w:val="00423EC5"/>
    <w:rsid w:val="00443B68"/>
    <w:rsid w:val="0049524B"/>
    <w:rsid w:val="004A7CBC"/>
    <w:rsid w:val="004F7008"/>
    <w:rsid w:val="00507D2C"/>
    <w:rsid w:val="00513986"/>
    <w:rsid w:val="005317E0"/>
    <w:rsid w:val="00537B43"/>
    <w:rsid w:val="005519B0"/>
    <w:rsid w:val="005747AC"/>
    <w:rsid w:val="00594B66"/>
    <w:rsid w:val="005F7AAD"/>
    <w:rsid w:val="00653697"/>
    <w:rsid w:val="00670D25"/>
    <w:rsid w:val="00683F2B"/>
    <w:rsid w:val="006903E7"/>
    <w:rsid w:val="006E40FF"/>
    <w:rsid w:val="006E4611"/>
    <w:rsid w:val="00762FC6"/>
    <w:rsid w:val="0077570B"/>
    <w:rsid w:val="00776E9C"/>
    <w:rsid w:val="007A1E5C"/>
    <w:rsid w:val="007B6B11"/>
    <w:rsid w:val="007D47AA"/>
    <w:rsid w:val="007E28CE"/>
    <w:rsid w:val="0082660B"/>
    <w:rsid w:val="0089108A"/>
    <w:rsid w:val="008946FC"/>
    <w:rsid w:val="008A64AB"/>
    <w:rsid w:val="008B06E8"/>
    <w:rsid w:val="008D63E2"/>
    <w:rsid w:val="008E3B07"/>
    <w:rsid w:val="008F2991"/>
    <w:rsid w:val="00903CB9"/>
    <w:rsid w:val="009A5026"/>
    <w:rsid w:val="009A7D5F"/>
    <w:rsid w:val="009B0BEA"/>
    <w:rsid w:val="00A21E12"/>
    <w:rsid w:val="00A81966"/>
    <w:rsid w:val="00B25974"/>
    <w:rsid w:val="00B461D1"/>
    <w:rsid w:val="00B60A88"/>
    <w:rsid w:val="00B97678"/>
    <w:rsid w:val="00BD4E1E"/>
    <w:rsid w:val="00C229B7"/>
    <w:rsid w:val="00CE50A9"/>
    <w:rsid w:val="00D07DC1"/>
    <w:rsid w:val="00D13D20"/>
    <w:rsid w:val="00D761CA"/>
    <w:rsid w:val="00D976CE"/>
    <w:rsid w:val="00DE4320"/>
    <w:rsid w:val="00DF0A44"/>
    <w:rsid w:val="00DF366E"/>
    <w:rsid w:val="00E16C35"/>
    <w:rsid w:val="00E31340"/>
    <w:rsid w:val="00E44821"/>
    <w:rsid w:val="00E92C2D"/>
    <w:rsid w:val="00EA203D"/>
    <w:rsid w:val="00EA6F0F"/>
    <w:rsid w:val="00EC64CB"/>
    <w:rsid w:val="00EC71AE"/>
    <w:rsid w:val="00F1300A"/>
    <w:rsid w:val="02AA1E10"/>
    <w:rsid w:val="08941356"/>
    <w:rsid w:val="0B883D21"/>
    <w:rsid w:val="0D0A2974"/>
    <w:rsid w:val="108A1211"/>
    <w:rsid w:val="11584904"/>
    <w:rsid w:val="15452C1B"/>
    <w:rsid w:val="18887C75"/>
    <w:rsid w:val="19203904"/>
    <w:rsid w:val="1C237148"/>
    <w:rsid w:val="1C646208"/>
    <w:rsid w:val="1DC31DFC"/>
    <w:rsid w:val="1F0D7201"/>
    <w:rsid w:val="1FE41692"/>
    <w:rsid w:val="229609B0"/>
    <w:rsid w:val="27C31990"/>
    <w:rsid w:val="2A264291"/>
    <w:rsid w:val="2AFB391C"/>
    <w:rsid w:val="2D944E6F"/>
    <w:rsid w:val="2FEB45C1"/>
    <w:rsid w:val="30BE4E7C"/>
    <w:rsid w:val="310D1B22"/>
    <w:rsid w:val="328D3898"/>
    <w:rsid w:val="35E8190D"/>
    <w:rsid w:val="36A67330"/>
    <w:rsid w:val="3FE36BB6"/>
    <w:rsid w:val="427E5E78"/>
    <w:rsid w:val="43630002"/>
    <w:rsid w:val="4C364232"/>
    <w:rsid w:val="50D069F5"/>
    <w:rsid w:val="524C286E"/>
    <w:rsid w:val="53A10A14"/>
    <w:rsid w:val="558D327E"/>
    <w:rsid w:val="598255E2"/>
    <w:rsid w:val="613D6DF5"/>
    <w:rsid w:val="639B3BE8"/>
    <w:rsid w:val="649E7790"/>
    <w:rsid w:val="6506111D"/>
    <w:rsid w:val="65C511D1"/>
    <w:rsid w:val="693475CD"/>
    <w:rsid w:val="698419EB"/>
    <w:rsid w:val="6A3452D6"/>
    <w:rsid w:val="6BDD12AE"/>
    <w:rsid w:val="6D9A5011"/>
    <w:rsid w:val="71B40CB5"/>
    <w:rsid w:val="730205B7"/>
    <w:rsid w:val="75AD5EC5"/>
    <w:rsid w:val="75E50C7B"/>
    <w:rsid w:val="7AF94B9A"/>
    <w:rsid w:val="7F6676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8">
    <w:name w:val="Default Paragraph Font"/>
    <w:unhideWhenUsed/>
    <w:uiPriority w:val="1"/>
  </w:style>
  <w:style w:type="table" w:default="1" w:styleId="6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Date"/>
    <w:basedOn w:val="1"/>
    <w:next w:val="1"/>
    <w:link w:val="12"/>
    <w:uiPriority w:val="0"/>
    <w:pPr>
      <w:ind w:left="100" w:leftChars="2500"/>
    </w:p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5">
    <w:name w:val="Normal (Web)"/>
    <w:basedOn w:val="1"/>
    <w:unhideWhenUsed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</w:rPr>
  </w:style>
  <w:style w:type="table" w:styleId="7">
    <w:name w:val="Table Grid"/>
    <w:basedOn w:val="6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9">
    <w:name w:val="Hyperlink"/>
    <w:basedOn w:val="8"/>
    <w:uiPriority w:val="0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0">
    <w:name w:val="apple-converted-space"/>
    <w:basedOn w:val="8"/>
    <w:qFormat/>
    <w:uiPriority w:val="0"/>
  </w:style>
  <w:style w:type="character" w:customStyle="1" w:styleId="11">
    <w:name w:val="Unresolved Mention"/>
    <w:basedOn w:val="8"/>
    <w:semiHidden/>
    <w:unhideWhenUsed/>
    <w:uiPriority w:val="99"/>
    <w:rPr>
      <w:color w:val="605E5C"/>
      <w:shd w:val="clear" w:color="auto" w:fill="E1DFDD"/>
    </w:rPr>
  </w:style>
  <w:style w:type="character" w:customStyle="1" w:styleId="12">
    <w:name w:val="日期 字符"/>
    <w:basedOn w:val="8"/>
    <w:link w:val="2"/>
    <w:uiPriority w:val="0"/>
    <w:rPr>
      <w:rFonts w:asciiTheme="minorHAnsi" w:hAnsiTheme="minorHAnsi" w:eastAsiaTheme="minorEastAsia" w:cstheme="minorBidi"/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jpe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3073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微软中国</Company>
  <Pages>14</Pages>
  <Words>428</Words>
  <Characters>2441</Characters>
  <Lines>20</Lines>
  <Paragraphs>5</Paragraphs>
  <TotalTime>10</TotalTime>
  <ScaleCrop>false</ScaleCrop>
  <LinksUpToDate>false</LinksUpToDate>
  <CharactersWithSpaces>2864</CharactersWithSpaces>
  <Application>WPS Office_11.1.0.9175_F1E327BC-269C-435d-A152-05C5408002CA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2019-10-11T07:47:00Z</dcterms:created>
  <dc:creator>Administrator</dc:creator>
  <cp:lastModifiedBy>新鲜人</cp:lastModifiedBy>
  <dcterms:modified xsi:type="dcterms:W3CDTF">2019-11-18T06:00:11Z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2052-11.1.0.9175</vt:lpwstr>
  </property>
</Properties>
</file>